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ind w:left="4956" w:hanging="0"/>
        <w:rPr>
          <w:sz w:val="18"/>
          <w:szCs w:val="18"/>
        </w:rPr>
      </w:pPr>
      <w:r>
        <w:rPr>
          <w:sz w:val="18"/>
          <w:szCs w:val="18"/>
        </w:rPr>
        <w:t>Załącznik do uchwały Nr…………………………………</w:t>
      </w:r>
    </w:p>
    <w:p>
      <w:pPr>
        <w:pStyle w:val="NormalWeb"/>
        <w:spacing w:beforeAutospacing="0" w:before="0" w:after="0"/>
        <w:ind w:left="4956" w:hanging="0"/>
        <w:rPr>
          <w:sz w:val="18"/>
          <w:szCs w:val="18"/>
        </w:rPr>
      </w:pPr>
      <w:bookmarkStart w:id="0" w:name="_Hlk481416140"/>
      <w:bookmarkEnd w:id="0"/>
      <w:r>
        <w:rPr>
          <w:sz w:val="18"/>
          <w:szCs w:val="18"/>
        </w:rPr>
        <w:t>Rady Miejskiej w Wolbromiu z dnia 30 listopada 2017 r. w sprawie zasad udzielania dotacji przy realizacji modernizacji systemów ogrzewania w budynkach i lokalach mieszkalnych w ramach projektów pod nazwą: Redukcja emisji zanieczyszczeń do powietrza</w:t>
      </w:r>
    </w:p>
    <w:p>
      <w:pPr>
        <w:pStyle w:val="NormalWeb"/>
        <w:numPr>
          <w:ilvl w:val="0"/>
          <w:numId w:val="1"/>
        </w:numPr>
        <w:spacing w:beforeAutospacing="0" w:before="0" w:after="0"/>
        <w:rPr>
          <w:sz w:val="18"/>
          <w:szCs w:val="18"/>
        </w:rPr>
      </w:pPr>
      <w:r>
        <w:rPr>
          <w:sz w:val="18"/>
          <w:szCs w:val="18"/>
        </w:rPr>
        <w:t>„</w:t>
      </w:r>
      <w:r>
        <w:rPr>
          <w:sz w:val="18"/>
          <w:szCs w:val="18"/>
        </w:rPr>
        <w:t>Wymiana kotłów węglowych w indywidualnych gospodarstwach domowych na nowoczesne kotły na terenie Gminy Wolbrom”</w:t>
      </w:r>
    </w:p>
    <w:p>
      <w:pPr>
        <w:pStyle w:val="NormalWeb"/>
        <w:numPr>
          <w:ilvl w:val="0"/>
          <w:numId w:val="1"/>
        </w:numPr>
        <w:spacing w:beforeAutospacing="0" w:before="0" w:after="0"/>
        <w:rPr>
          <w:sz w:val="18"/>
          <w:szCs w:val="18"/>
        </w:rPr>
      </w:pPr>
      <w:r>
        <w:rPr>
          <w:sz w:val="18"/>
          <w:szCs w:val="18"/>
        </w:rPr>
        <w:t>„</w:t>
      </w:r>
      <w:r>
        <w:rPr>
          <w:sz w:val="18"/>
          <w:szCs w:val="18"/>
        </w:rPr>
        <w:t>Wymiana kotłów węglowych w indywidualnych gospodarstwach domowych na kotły gazowe i spalające biomasę na terenie Gminy Wolbrom”</w:t>
      </w:r>
    </w:p>
    <w:p>
      <w:pPr>
        <w:pStyle w:val="NormalWeb"/>
        <w:spacing w:beforeAutospacing="0" w:before="0" w:after="0"/>
        <w:ind w:left="4956" w:hanging="0"/>
        <w:rPr>
          <w:sz w:val="18"/>
          <w:szCs w:val="18"/>
        </w:rPr>
      </w:pPr>
      <w:r>
        <w:rPr>
          <w:sz w:val="18"/>
          <w:szCs w:val="18"/>
        </w:rPr>
        <w:t>ze środków Regionalnego Programu Operacyjnego Województwa Małopolskiego na lata 2014 - 2020</w:t>
      </w:r>
    </w:p>
    <w:p>
      <w:pPr>
        <w:pStyle w:val="NormalWeb"/>
        <w:spacing w:before="0" w:after="0"/>
        <w:ind w:left="4956" w:firstLine="709"/>
        <w:rPr/>
      </w:pPr>
      <w:r>
        <w:rPr/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określający zasady udzielania osobom fizycznym dotacji celowej</w:t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(w formie refundacji) na modernizację systemów ogrzewania w budynkach i lokalach mieszkalnych w ramach ograniczenia niskiej emisji na terenie Miasta i Gminy Wolbrom przy udziale środków zewnętrznych</w:t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Regionalnego Programu Operacyjnego Województwa Małopolskiego</w:t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lata 2014– 2020,</w:t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działanie 4.4 Redukcja emisji zanieczyszczeń do powietrza,</w:t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poddziałanie 4.4.2 Obniżenie poziomu niskiej emisji - SPR</w:t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oraz</w:t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poddziałanie 4.4.3 Obniżenie poziomu niskiej emisji- paliwa stałe - SPR</w:t>
      </w:r>
    </w:p>
    <w:p>
      <w:pPr>
        <w:pStyle w:val="NormalWeb"/>
        <w:spacing w:before="0" w:after="120"/>
        <w:rPr/>
      </w:pPr>
      <w:r>
        <w:rPr/>
      </w:r>
    </w:p>
    <w:p>
      <w:pPr>
        <w:pStyle w:val="NormalWeb"/>
        <w:spacing w:before="0" w:after="120"/>
        <w:rPr/>
      </w:pPr>
      <w:r>
        <w:rPr/>
      </w:r>
    </w:p>
    <w:p>
      <w:pPr>
        <w:pStyle w:val="NormalWeb"/>
        <w:spacing w:lineRule="auto" w:line="360" w:beforeAutospacing="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Rozdział 1</w:t>
      </w:r>
    </w:p>
    <w:p>
      <w:pPr>
        <w:pStyle w:val="NormalWeb"/>
        <w:spacing w:lineRule="auto" w:line="360" w:beforeAutospacing="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Postanowienia ogólne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240" w:after="0"/>
        <w:jc w:val="center"/>
        <w:rPr/>
      </w:pPr>
      <w:r>
        <w:rPr>
          <w:b/>
          <w:bCs/>
        </w:rPr>
        <w:t>§ 1. Definicje</w:t>
      </w:r>
    </w:p>
    <w:p>
      <w:pPr>
        <w:pStyle w:val="NormalWeb"/>
        <w:spacing w:beforeAutospacing="0" w:before="240" w:after="0"/>
        <w:rPr/>
      </w:pPr>
      <w:r>
        <w:rPr/>
      </w:r>
    </w:p>
    <w:p>
      <w:pPr>
        <w:pStyle w:val="NormalWeb"/>
        <w:spacing w:beforeAutospacing="0" w:before="240" w:after="0"/>
        <w:jc w:val="both"/>
        <w:rPr/>
      </w:pPr>
      <w:r>
        <w:rPr/>
        <w:t>Na potrzeby niniejszego Regulaminu przyjmuje się następujące znaczenia użytych w nim wyrażeń: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>
          <w:b/>
          <w:bCs/>
        </w:rPr>
        <w:t xml:space="preserve">Audyt energetyczny </w:t>
      </w:r>
      <w:r>
        <w:rPr/>
        <w:t>– procedura, której celem jest uzyskanie wiedzy o profilu istniejącego zużycia energii w Nieruchomości oraz określenie możliwości uzyskania opłacalnej oszczędności energii.</w:t>
      </w:r>
    </w:p>
    <w:p>
      <w:pPr>
        <w:pStyle w:val="NormalWeb"/>
        <w:spacing w:beforeAutospacing="0" w:before="0" w:after="0"/>
        <w:ind w:firstLine="708"/>
        <w:jc w:val="both"/>
        <w:rPr/>
      </w:pPr>
      <w:r>
        <w:rPr/>
      </w:r>
    </w:p>
    <w:p>
      <w:pPr>
        <w:pStyle w:val="NormalWeb"/>
        <w:numPr>
          <w:ilvl w:val="0"/>
          <w:numId w:val="2"/>
        </w:numPr>
        <w:spacing w:beforeAutospacing="0" w:before="0" w:after="0"/>
        <w:ind w:left="714" w:hanging="357"/>
        <w:jc w:val="both"/>
        <w:rPr/>
      </w:pPr>
      <w:r>
        <w:rPr>
          <w:b/>
        </w:rPr>
        <w:t>Ocena energetyczna</w:t>
      </w:r>
      <w:r>
        <w:rPr/>
        <w:t xml:space="preserve"> – dokument powstały w wyniku przeprowadzonego Audytu energetycznego określający w szczególności zakres zalecanych prac termomodernizacyjnych oraz moc Nowego źródła ciepła.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b/>
          <w:bCs/>
        </w:rPr>
        <w:t xml:space="preserve">Gmina – </w:t>
      </w:r>
      <w:r>
        <w:rPr/>
        <w:t>Gmina Wolbrom.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="0"/>
        <w:jc w:val="both"/>
        <w:rPr/>
      </w:pPr>
      <w:r>
        <w:rPr>
          <w:b/>
          <w:bCs/>
        </w:rPr>
        <w:t>Urząd</w:t>
      </w:r>
      <w:r>
        <w:rPr/>
        <w:t xml:space="preserve"> – Urząd Miasta i Gminy Wolbrom, ul. Krakowska 1, 32-340 Wolbrom.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/>
      </w:pPr>
      <w:r>
        <w:rPr>
          <w:b/>
          <w:bCs/>
        </w:rPr>
        <w:t xml:space="preserve">Wnioskodawca – </w:t>
      </w:r>
      <w:r>
        <w:rPr/>
        <w:t>osoba fizyczna ubiegająca się o przyznanie Dotacji, posiadająca tytuł prawny do korzystania z Nieruchomości (wynikający z prawa własności, prawa użytkowania wieczystego, ograniczonego prawa rzeczowego lub stosunku zobowiązaniowego) znajdującej się na terenie Gminy.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>
          <w:b/>
          <w:bCs/>
        </w:rPr>
        <w:t xml:space="preserve">Inwestor – </w:t>
      </w:r>
      <w:r>
        <w:rPr/>
        <w:t>Wnioskodawca, który na podstawie ankiety (załącznik nr 1 do niniejszego Regulaminu) poddał się Audytowi energetycznemu (dysponuje oceną energetyczną budynku) wykonanemu przed realizacją Inwestycji, zaakceptował wyniki Audytu energetycznego, złożył Wniosek o udzielenie Dotacji (stanowiącej załącznik nr 2 do Regulaminu), oraz podpisał Umowę z Gminą na Inwestycję.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>
          <w:b/>
          <w:bCs/>
        </w:rPr>
        <w:t>Projekt</w:t>
      </w:r>
      <w:r>
        <w:rPr/>
        <w:t xml:space="preserve"> – inwestycje polegające na realizacji “Planu gospodarki niskoemisyjnej dla Gminy Wolbrom” przy udziale środków zewnętrznych z Regionalnego Programu Operacyjnego Województwa Małopolskiego na lata 2014– 2020, działanie 4.4 Redukcja emisji zanieczyszczeń do powietrza, poddziałanie 4.4.2 Obniżenie poziomu niskiej emisji - SPR oraz poddziałanie 4.4.3 Obniżenie poziomu niskiej emisji- paliwa stałe - SPR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>
          <w:b/>
          <w:bCs/>
        </w:rPr>
        <w:t>Wniosek</w:t>
      </w:r>
      <w:r>
        <w:rPr/>
        <w:t xml:space="preserve"> - pisemna deklaracja uczestnictwa w Projekcie składana zgodnie z wzorem stanowiącym załącznik nr 1 do niniejszego Regulaminu.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/>
        <w:t xml:space="preserve"> </w:t>
      </w:r>
      <w:r>
        <w:rPr>
          <w:b/>
          <w:bCs/>
        </w:rPr>
        <w:t xml:space="preserve">Inwestycja – </w:t>
      </w:r>
      <w:r>
        <w:rPr/>
        <w:t>wymiana Starego źródła ciepła na Nowe źródło ciepła i/lub wykonanie wewnętrznej instalacji niezbędnej do prawidłowego funkcjonowania urządzenia.</w:t>
      </w:r>
    </w:p>
    <w:p>
      <w:pPr>
        <w:pStyle w:val="NormalWeb"/>
        <w:numPr>
          <w:ilvl w:val="0"/>
          <w:numId w:val="2"/>
        </w:numPr>
        <w:spacing w:beforeAutospacing="0" w:before="240" w:after="0"/>
        <w:ind w:left="709" w:hanging="360"/>
        <w:jc w:val="both"/>
        <w:rPr/>
      </w:pPr>
      <w:r>
        <w:rPr/>
        <w:t xml:space="preserve"> </w:t>
      </w:r>
      <w:r>
        <w:rPr>
          <w:b/>
        </w:rPr>
        <w:t>Dotacja</w:t>
      </w:r>
      <w:r>
        <w:rPr/>
        <w:t xml:space="preserve"> – bezzwrotne środki finansowe przyznane Wnioskodawcy przez Gminę na   podstawie zawartej Umowy.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IZ RPO WM - </w:t>
      </w:r>
      <w:r>
        <w:rPr/>
        <w:t>Instytucja Zarządzająca Regionalnym Programem Operacyjnym Województwa Małopolskiego, tj. Zarząd Województwa Małopolskiego.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>
          <w:b/>
          <w:bCs/>
        </w:rPr>
        <w:t xml:space="preserve">Koszty kwalifikowane – </w:t>
      </w:r>
      <w:r>
        <w:rPr/>
        <w:t>koszty określonych materiałów, urządzeń i prac, które kwalifikują się do refundacji w ramach udzielonej dotacji i zostały poniesione przez Inwestora w okresie ich kwalifikowalności.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>
          <w:b/>
          <w:bCs/>
          <w:color w:val="000000"/>
        </w:rPr>
        <w:t xml:space="preserve">Nieruchomość </w:t>
      </w:r>
      <w:r>
        <w:rPr>
          <w:color w:val="000000"/>
        </w:rPr>
        <w:t>– nieruchomość budynkowa lub lokalowa służąca zaspokajaniu</w:t>
      </w:r>
      <w:r>
        <w:rPr/>
        <w:t xml:space="preserve"> </w:t>
      </w:r>
      <w:r>
        <w:rPr>
          <w:color w:val="000000"/>
        </w:rPr>
        <w:t>potrzeb mieszkaniowych, zarówno jednorodzinna, jak i wielorodzinna, zlokalizowana na terenie Gminy Wolbrom, w której Wnioskodawca chce dokonać realizacji Inwestycji.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>
          <w:b/>
          <w:bCs/>
          <w:color w:val="000000"/>
        </w:rPr>
        <w:t xml:space="preserve">Stare źródło ciepła </w:t>
      </w:r>
      <w:r>
        <w:rPr>
          <w:color w:val="000000"/>
        </w:rPr>
        <w:t>– obecnie wykorzystywany w nieruchomości kocioł na paliwo</w:t>
      </w:r>
      <w:r>
        <w:rPr/>
        <w:t xml:space="preserve"> </w:t>
      </w:r>
      <w:r>
        <w:rPr>
          <w:color w:val="000000"/>
        </w:rPr>
        <w:t>stałe poniżej klasy 5 wg normy PN-EN 303-5:2012 oraz inne źródło ciepła z</w:t>
      </w:r>
      <w:r>
        <w:rPr/>
        <w:t xml:space="preserve"> </w:t>
      </w:r>
      <w:r>
        <w:rPr>
          <w:color w:val="000000"/>
        </w:rPr>
        <w:t>możliwością spalania paliw stałych.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>
          <w:b/>
          <w:bCs/>
        </w:rPr>
        <w:t xml:space="preserve">Nowe źródło ciepła </w:t>
      </w:r>
      <w:r>
        <w:rPr/>
        <w:t>– wysokosprawne i ekologiczne źródło ciepła spełniające kryteria określone</w:t>
      </w:r>
      <w:r>
        <w:rPr>
          <w:color w:val="000000"/>
        </w:rPr>
        <w:t xml:space="preserve"> w Programie,</w:t>
      </w:r>
      <w:r>
        <w:rPr/>
        <w:t xml:space="preserve"> tj. kocioł na gaz, biomasę, paliwa stałe lub odnawialne źródło energii. Zastosowane nowe urządzenie grzewcze na biomasę i paliwa stałe musi spełniać wymagania ekoprojektu w zakresie efektywności energetycznej i emisji zanieczyszczeń określone w Rozporządzeniu Komisji (UE) 2015/1189 z dnia 28 kwietnia 2015 r. w sprawie wykonania dyrektywy Parlamentu Europejskiego i Rady 2009/125/EC.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>
          <w:b/>
          <w:bCs/>
        </w:rPr>
        <w:t xml:space="preserve">Okres trwałości projektu - </w:t>
      </w:r>
      <w:r>
        <w:rPr/>
        <w:t>5</w:t>
      </w:r>
      <w:r>
        <w:rPr>
          <w:color w:val="000000"/>
        </w:rPr>
        <w:t xml:space="preserve"> lat od ostatniej płatności dokonanej przez IZ RPO WM .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/>
        <w:t xml:space="preserve"> </w:t>
      </w:r>
      <w:r>
        <w:rPr>
          <w:b/>
          <w:bCs/>
        </w:rPr>
        <w:t xml:space="preserve">Proces modernizacji energetycznej </w:t>
      </w:r>
      <w:r>
        <w:rPr/>
        <w:t>– zrealizowanie inwestycji zwiększających efektywność energetyczną i ograniczających zapotrzebowanie na energię (np. wymiana stolarki okiennej i drzwiowej, termomodernizacja ścian zewnętrznych, stropu, itp.), których zasadność wynika z przeprowadzonego Audytu energetycznego.</w:t>
      </w:r>
    </w:p>
    <w:p>
      <w:pPr>
        <w:pStyle w:val="NormalWeb"/>
        <w:numPr>
          <w:ilvl w:val="0"/>
          <w:numId w:val="2"/>
        </w:numPr>
        <w:spacing w:before="240" w:after="0"/>
        <w:jc w:val="both"/>
        <w:rPr/>
      </w:pPr>
      <w:r>
        <w:rPr/>
        <w:t xml:space="preserve"> </w:t>
      </w:r>
      <w:r>
        <w:rPr>
          <w:b/>
          <w:bCs/>
        </w:rPr>
        <w:t xml:space="preserve">Program </w:t>
      </w:r>
      <w:r>
        <w:rPr/>
        <w:t xml:space="preserve">– Regionalny Program Operacyjny Województwa Małopolskiego na lata 2014-2020 (RPO WM), działanie 4.4 Redukcja emisji zanieczyszczeń do powietrza, poddziałanie 4.4.2 Obniżenie poziomu niskiej emisji – SPR oraz poddziałanie 4.4.3 Obniżenie poziomu niskiej emisji- paliwa stałe – SPR. 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>
          <w:b/>
          <w:bCs/>
        </w:rPr>
        <w:t xml:space="preserve">Regulamin – </w:t>
      </w:r>
      <w:r>
        <w:rPr/>
        <w:t>niniejszy Regulamin</w:t>
      </w:r>
      <w:r>
        <w:rPr>
          <w:b/>
          <w:bCs/>
        </w:rPr>
        <w:t>.</w:t>
      </w:r>
    </w:p>
    <w:p>
      <w:pPr>
        <w:pStyle w:val="NormalWeb"/>
        <w:numPr>
          <w:ilvl w:val="0"/>
          <w:numId w:val="2"/>
        </w:numPr>
        <w:spacing w:beforeAutospacing="0" w:before="240" w:after="0"/>
        <w:jc w:val="both"/>
        <w:rPr/>
      </w:pPr>
      <w:r>
        <w:rPr>
          <w:b/>
          <w:bCs/>
        </w:rPr>
        <w:t xml:space="preserve">Umowa – </w:t>
      </w:r>
      <w:r>
        <w:rPr/>
        <w:t>pisemna, dwustronna umowa zawarta pomiędzy Wnioskodawcą a Gminą określająca warunki współpracy stron w ram</w:t>
      </w:r>
      <w:r>
        <w:rPr>
          <w:color w:val="000000"/>
        </w:rPr>
        <w:t xml:space="preserve">ach Projektu i </w:t>
      </w:r>
      <w:r>
        <w:rPr/>
        <w:t>wysokość Dotacji.</w:t>
      </w:r>
    </w:p>
    <w:p>
      <w:pPr>
        <w:pStyle w:val="NormalWeb"/>
        <w:spacing w:beforeAutospacing="0" w:before="360" w:after="0"/>
        <w:ind w:left="720" w:hanging="0"/>
        <w:rPr/>
      </w:pPr>
      <w:r>
        <w:rPr/>
      </w:r>
    </w:p>
    <w:p>
      <w:pPr>
        <w:pStyle w:val="NormalWeb"/>
        <w:spacing w:beforeAutospacing="0" w:before="240" w:after="0"/>
        <w:jc w:val="center"/>
        <w:rPr/>
      </w:pPr>
      <w:r>
        <w:rPr>
          <w:b/>
          <w:bCs/>
        </w:rPr>
        <w:t>§ 2. Postanowienia ogólne</w:t>
      </w:r>
    </w:p>
    <w:p>
      <w:pPr>
        <w:pStyle w:val="NormalWeb"/>
        <w:spacing w:beforeAutospacing="0" w:before="240" w:after="0"/>
        <w:jc w:val="both"/>
        <w:rPr/>
      </w:pPr>
      <w:r>
        <w:rPr/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 xml:space="preserve">Warunkiem ubiegania się o Dotację jest przeprowadzenie audytu energetycznego oraz wykonanie oceny energetycznej </w:t>
      </w:r>
      <w:r>
        <w:rPr>
          <w:color w:val="000000"/>
        </w:rPr>
        <w:t>Nieruchomości</w:t>
      </w:r>
      <w:r>
        <w:rPr/>
        <w:t xml:space="preserve"> (a w przypadku nieruchomości lokalowej całego budynku). Audyt energetyczny</w:t>
      </w:r>
      <w:r>
        <w:rPr>
          <w:color w:val="000000"/>
        </w:rPr>
        <w:t xml:space="preserve"> oraz ocena energetyczna m</w:t>
      </w:r>
      <w:r>
        <w:rPr/>
        <w:t>uszą być wykonane przed podpisaniem Umowy.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/>
      </w:pPr>
      <w:r>
        <w:rPr/>
        <w:t>W przypadku Nieruchomości, które nie spełniają minimalnych standardów efektywności energetycznej, Inwestor zobowiązany jest do przeprowadzenia termomodernizacji Nieruchomości w zakresie wynikającym z Audytu energetycznego i oceny energetycznej na własny koszt w okresie realizacj</w:t>
      </w:r>
      <w:r>
        <w:rPr>
          <w:color w:val="000000"/>
        </w:rPr>
        <w:t>i Projektu oraz n</w:t>
      </w:r>
      <w:r>
        <w:rPr/>
        <w:t>ie później niż do daty wskazanej w Umowie, a w przypadku nieruchomości lokalowej modernizacja dotyczy całego budynku.</w:t>
      </w:r>
    </w:p>
    <w:p>
      <w:pPr>
        <w:pStyle w:val="NormalWeb"/>
        <w:numPr>
          <w:ilvl w:val="0"/>
          <w:numId w:val="3"/>
        </w:numPr>
        <w:spacing w:beforeAutospacing="0" w:before="240" w:after="0"/>
        <w:jc w:val="both"/>
        <w:rPr/>
      </w:pPr>
      <w:r>
        <w:rPr>
          <w:color w:val="000000"/>
        </w:rPr>
        <w:t>Dotacja może zostać udzielona różnym nieruchomościom lokalowym w jednym</w:t>
      </w:r>
      <w:r>
        <w:rPr/>
        <w:t xml:space="preserve"> </w:t>
      </w:r>
      <w:r>
        <w:rPr>
          <w:color w:val="000000"/>
        </w:rPr>
        <w:t>budynku pod warunkiem, że są one ogrzewane systemami grzewczymi niepowiązanymi ze sobą, a każda z nich odrębnie uzyska wymagany Efekt Ekologiczny.</w:t>
      </w:r>
    </w:p>
    <w:p>
      <w:pPr>
        <w:pStyle w:val="NormalWeb"/>
        <w:numPr>
          <w:ilvl w:val="0"/>
          <w:numId w:val="3"/>
        </w:numPr>
        <w:spacing w:beforeAutospacing="0" w:before="240" w:after="0"/>
        <w:jc w:val="both"/>
        <w:rPr/>
      </w:pPr>
      <w:r>
        <w:rPr>
          <w:color w:val="000000"/>
        </w:rPr>
        <w:t>Udzielenie i rozliczenie dotacji odbywa się na podstawie Umowy zawartej</w:t>
      </w:r>
      <w:r>
        <w:rPr/>
        <w:t xml:space="preserve"> </w:t>
      </w:r>
      <w:r>
        <w:rPr>
          <w:color w:val="000000"/>
        </w:rPr>
        <w:t>pomiędzy Gminą a Wnioskodawcą.</w:t>
      </w:r>
    </w:p>
    <w:p>
      <w:pPr>
        <w:pStyle w:val="NormalWeb"/>
        <w:numPr>
          <w:ilvl w:val="0"/>
          <w:numId w:val="3"/>
        </w:numPr>
        <w:spacing w:beforeAutospacing="0" w:before="240" w:after="0"/>
        <w:jc w:val="both"/>
        <w:rPr/>
      </w:pPr>
      <w:r>
        <w:rPr>
          <w:color w:val="000000"/>
        </w:rPr>
        <w:t xml:space="preserve">Inwestor zobowiązany jest do trwałej likwidacji Starego źródła ciepła i użytkowania </w:t>
      </w:r>
      <w:r>
        <w:rPr/>
        <w:t xml:space="preserve">wyłącznie dofinansowanego systemu ogrzewania jako podstawowego źródła ciepła w </w:t>
      </w:r>
      <w:r>
        <w:rPr>
          <w:color w:val="000000"/>
        </w:rPr>
        <w:t>Nieruchomości w okresie trwałości projektu.</w:t>
      </w:r>
    </w:p>
    <w:p>
      <w:pPr>
        <w:pStyle w:val="NormalWeb"/>
        <w:numPr>
          <w:ilvl w:val="0"/>
          <w:numId w:val="3"/>
        </w:numPr>
        <w:spacing w:beforeAutospacing="0" w:before="240" w:after="0"/>
        <w:jc w:val="both"/>
        <w:rPr/>
      </w:pPr>
      <w:r>
        <w:rPr>
          <w:color w:val="000000"/>
        </w:rPr>
        <w:t>Inwestor nie może wprowadzić nieuprawnionych modyfikacji kotła (np. dodatkowego</w:t>
      </w:r>
      <w:r>
        <w:rPr/>
        <w:t xml:space="preserve"> rusztu) umożliwiających, np. spalanie odpadów czy innych paliw niż wskazane w </w:t>
      </w:r>
      <w:r>
        <w:rPr>
          <w:color w:val="000000"/>
        </w:rPr>
        <w:t>karcie charakterystyki technicznej urządzenia grzewczego.</w:t>
      </w:r>
    </w:p>
    <w:p>
      <w:pPr>
        <w:pStyle w:val="NormalWeb"/>
        <w:numPr>
          <w:ilvl w:val="0"/>
          <w:numId w:val="3"/>
        </w:numPr>
        <w:spacing w:beforeAutospacing="0" w:before="240" w:after="0"/>
        <w:jc w:val="both"/>
        <w:rPr/>
      </w:pPr>
      <w:r>
        <w:rPr>
          <w:color w:val="000000"/>
        </w:rPr>
        <w:t xml:space="preserve">Inwestor zobowiązany jest do używania wyłącznie paliwa o parametrach </w:t>
      </w:r>
      <w:r>
        <w:rPr/>
        <w:t xml:space="preserve">dopuszczonych przez producenta pieca oraz zapewnienia prawidłowych warunków składowania opału w celu jego ochrony przed zawilgoceniem, a także wyraża zgodę </w:t>
      </w:r>
      <w:r>
        <w:rPr>
          <w:color w:val="000000"/>
        </w:rPr>
        <w:t>na pobieranie próbki paliwa w celu zbadania jej parametrów.</w:t>
      </w:r>
    </w:p>
    <w:p>
      <w:pPr>
        <w:pStyle w:val="NormalWeb"/>
        <w:spacing w:beforeAutospacing="0" w:before="240" w:after="0"/>
        <w:ind w:left="720" w:hanging="0"/>
        <w:rPr/>
      </w:pPr>
      <w:r>
        <w:rPr/>
      </w:r>
    </w:p>
    <w:p>
      <w:pPr>
        <w:pStyle w:val="NormalWeb"/>
        <w:spacing w:beforeAutospacing="0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Rozdział 2</w:t>
      </w:r>
    </w:p>
    <w:p>
      <w:pPr>
        <w:pStyle w:val="NormalWeb"/>
        <w:spacing w:beforeAutospacing="0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Zasady i tryb postępowania w sprawie udzielania dotacji i sposób ich rozliczania</w:t>
      </w:r>
    </w:p>
    <w:p>
      <w:pPr>
        <w:pStyle w:val="NormalWeb"/>
        <w:spacing w:beforeAutospacing="0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24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3. Zasady udzielania dotacji</w:t>
      </w:r>
    </w:p>
    <w:p>
      <w:pPr>
        <w:pStyle w:val="NormalWeb"/>
        <w:spacing w:beforeAutospacing="0" w:before="240" w:after="0"/>
        <w:jc w:val="center"/>
        <w:rPr/>
      </w:pPr>
      <w:r>
        <w:rPr/>
      </w:r>
    </w:p>
    <w:p>
      <w:pPr>
        <w:pStyle w:val="NormalWeb"/>
        <w:numPr>
          <w:ilvl w:val="0"/>
          <w:numId w:val="4"/>
        </w:numPr>
        <w:spacing w:beforeAutospacing="0" w:before="240" w:after="0"/>
        <w:jc w:val="both"/>
        <w:rPr/>
      </w:pPr>
      <w:r>
        <w:rPr/>
        <w:t>Dotacja celowa na dofinansowanie do Nowych źródeł ciepła będzie przekazywane maksymalnie do wysokości mocy wyznaczonej w przeprowadzonej ocenie energetycznej Nieruchomości i będzie odpowiednio wynosiło:</w:t>
      </w:r>
    </w:p>
    <w:p>
      <w:pPr>
        <w:pStyle w:val="NormalWeb"/>
        <w:numPr>
          <w:ilvl w:val="0"/>
          <w:numId w:val="5"/>
        </w:numPr>
        <w:spacing w:beforeAutospacing="0" w:before="240" w:after="0"/>
        <w:jc w:val="both"/>
        <w:rPr/>
      </w:pPr>
      <w:r>
        <w:rPr/>
        <w:t>550 zł/kW dla zapotrzebowania do 10 kW mocy (łącznie) wyznaczonej w ocenie energetycznej,</w:t>
      </w:r>
    </w:p>
    <w:p>
      <w:pPr>
        <w:pStyle w:val="NormalWeb"/>
        <w:numPr>
          <w:ilvl w:val="0"/>
          <w:numId w:val="5"/>
        </w:numPr>
        <w:spacing w:beforeAutospacing="0" w:before="120" w:after="0"/>
        <w:jc w:val="both"/>
        <w:rPr/>
      </w:pPr>
      <w:r>
        <w:rPr/>
        <w:t>500 zł/kW dla zapotrzebowania powyżej 10 kW do 15 kW mocy (łącznie) wyznaczonej w ocenie energetycznej,</w:t>
      </w:r>
    </w:p>
    <w:p>
      <w:pPr>
        <w:pStyle w:val="NormalWeb"/>
        <w:numPr>
          <w:ilvl w:val="0"/>
          <w:numId w:val="5"/>
        </w:numPr>
        <w:spacing w:beforeAutospacing="0" w:before="120" w:after="0"/>
        <w:jc w:val="both"/>
        <w:rPr/>
      </w:pPr>
      <w:r>
        <w:rPr/>
        <w:t>450 zł/kW dla zapotrzebowania powyżej 15 kW do 20 kW mocy (łącznie) wyznaczonej w ocenie energetycznej,</w:t>
      </w:r>
    </w:p>
    <w:p>
      <w:pPr>
        <w:pStyle w:val="NormalWeb"/>
        <w:numPr>
          <w:ilvl w:val="0"/>
          <w:numId w:val="5"/>
        </w:numPr>
        <w:spacing w:beforeAutospacing="0" w:before="120" w:after="0"/>
        <w:jc w:val="both"/>
        <w:rPr/>
      </w:pPr>
      <w:r>
        <w:rPr/>
        <w:t>400 zł/kW dla zapotrzebowania powyżej 20 kW mocy wyznaczonej w ocenie energetycznej.</w:t>
      </w:r>
    </w:p>
    <w:p>
      <w:pPr>
        <w:pStyle w:val="NormalWeb"/>
        <w:numPr>
          <w:ilvl w:val="0"/>
          <w:numId w:val="4"/>
        </w:numPr>
        <w:spacing w:beforeAutospacing="0" w:before="240" w:after="0"/>
        <w:jc w:val="both"/>
        <w:rPr/>
      </w:pPr>
      <w:r>
        <w:rPr/>
        <w:t>Maksymalna wysokość dotacji, o której mowa w pkt 1 wynosi:</w:t>
      </w:r>
    </w:p>
    <w:p>
      <w:pPr>
        <w:pStyle w:val="NormalWeb"/>
        <w:numPr>
          <w:ilvl w:val="0"/>
          <w:numId w:val="6"/>
        </w:numPr>
        <w:spacing w:beforeAutospacing="0" w:before="240" w:after="0"/>
        <w:jc w:val="both"/>
        <w:rPr/>
      </w:pPr>
      <w:r>
        <w:rPr/>
        <w:t>nie więcej niż 8 tys. zł w przypadku budynku jednorodzinnego,</w:t>
      </w:r>
    </w:p>
    <w:p>
      <w:pPr>
        <w:pStyle w:val="NormalWeb"/>
        <w:numPr>
          <w:ilvl w:val="0"/>
          <w:numId w:val="6"/>
        </w:numPr>
        <w:spacing w:beforeAutospacing="0" w:before="120" w:after="0"/>
        <w:jc w:val="both"/>
        <w:rPr/>
      </w:pPr>
      <w:r>
        <w:rPr/>
        <w:t>nie więcej niż 10 tys. zł w przypadku budynku wielorodzinnego, dla którego</w:t>
      </w:r>
      <w:r>
        <w:rPr>
          <w:color w:val="000000"/>
        </w:rPr>
        <w:t xml:space="preserve"> jest wprowadzane wspólne źródło ciepła dla więcej niż jednego lokalu.</w:t>
      </w:r>
    </w:p>
    <w:p>
      <w:pPr>
        <w:pStyle w:val="NormalWeb"/>
        <w:numPr>
          <w:ilvl w:val="0"/>
          <w:numId w:val="4"/>
        </w:numPr>
        <w:spacing w:beforeAutospacing="0" w:before="240" w:after="0"/>
        <w:jc w:val="both"/>
        <w:rPr/>
      </w:pPr>
      <w:r>
        <w:rPr/>
        <w:t>W przypadku konieczności poniesienia kosztów na instalacje (wg zaleceń zawartych w ocenie energetycznej Nieruchomości) istnieje możliwość zwiększenia dofinansowania, o którym mowa w ust. 1, zgodnie z poniższym zapisem:</w:t>
      </w:r>
    </w:p>
    <w:p>
      <w:pPr>
        <w:pStyle w:val="NormalWeb"/>
        <w:numPr>
          <w:ilvl w:val="0"/>
          <w:numId w:val="7"/>
        </w:numPr>
        <w:spacing w:beforeAutospacing="0" w:before="120" w:after="0"/>
        <w:jc w:val="both"/>
        <w:rPr/>
      </w:pPr>
      <w:r>
        <w:rPr/>
        <w:t>nie więcej niż 6 tys. zł w przypadku budynku jednorodzinnego przy inwestycjach w źródła ciepła spalające biomasę lub wykorzystujące paliwa gazowe, bądź maksymalnie do 1 tys. zł w przypadku budynku jednorodzinnego przy inwestycjach w źródła ciepła spalające paliwa stałe,</w:t>
      </w:r>
    </w:p>
    <w:p>
      <w:pPr>
        <w:pStyle w:val="NormalWeb"/>
        <w:numPr>
          <w:ilvl w:val="0"/>
          <w:numId w:val="7"/>
        </w:numPr>
        <w:spacing w:beforeAutospacing="0" w:before="120" w:after="0"/>
        <w:jc w:val="both"/>
        <w:rPr/>
      </w:pPr>
      <w:r>
        <w:rPr/>
        <w:t>do wielokrotności 6 tys. przy inwestycjach w źródła ciepła spalające biomasę wykorzystujące paliwa gazowe, bądź do wielokrotności 1 tys. zł przy inwestycjach w źródła ciepła spalające paliwa stałe, zgodnej z liczbą odrębnych lokali mieszkalnych w budynku wielorodzinnym i nie więcej niż 80 zł</w:t>
      </w:r>
      <w:r>
        <w:rPr>
          <w:color w:val="000000"/>
        </w:rPr>
        <w:t>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o</w:t>
      </w:r>
      <w:r>
        <w:rPr/>
        <w:t>grzewanej powierzchni.</w:t>
      </w:r>
    </w:p>
    <w:p>
      <w:pPr>
        <w:pStyle w:val="NormalWeb"/>
        <w:numPr>
          <w:ilvl w:val="0"/>
          <w:numId w:val="4"/>
        </w:numPr>
        <w:spacing w:beforeAutospacing="0" w:before="240" w:after="0"/>
        <w:jc w:val="both"/>
        <w:rPr/>
      </w:pPr>
      <w:r>
        <w:rPr/>
        <w:t>Wysokość Dotacji będzie każdorazowo ustalana indywidualnie z uwzględnieniem maksymalnych kwot dofinansowania określonych powyżej, wyniku Audytu energetycznego, Oceny energetycznej oraz zasad Programu.</w:t>
      </w:r>
    </w:p>
    <w:p>
      <w:pPr>
        <w:pStyle w:val="NormalWeb"/>
        <w:numPr>
          <w:ilvl w:val="0"/>
          <w:numId w:val="4"/>
        </w:numPr>
        <w:spacing w:beforeAutospacing="0" w:before="240" w:after="0"/>
        <w:jc w:val="both"/>
        <w:rPr/>
      </w:pPr>
      <w:r>
        <w:rPr>
          <w:color w:val="000000"/>
        </w:rPr>
        <w:t xml:space="preserve">Ze środków Dotacji nie mogą być rozliczone wydatki poniesione przed zawarciem Umowy pomiędzy Gminą a Wnioskodawcą. 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4. Koszty kwalifikowane</w:t>
      </w:r>
    </w:p>
    <w:p>
      <w:pPr>
        <w:pStyle w:val="NormalWeb"/>
        <w:spacing w:beforeAutospacing="0" w:before="240" w:after="0"/>
        <w:jc w:val="both"/>
        <w:rPr/>
      </w:pPr>
      <w:r>
        <w:rPr/>
      </w:r>
    </w:p>
    <w:p>
      <w:pPr>
        <w:pStyle w:val="NormalWeb"/>
        <w:numPr>
          <w:ilvl w:val="0"/>
          <w:numId w:val="8"/>
        </w:numPr>
        <w:spacing w:beforeAutospacing="0" w:before="240" w:after="0"/>
        <w:jc w:val="both"/>
        <w:rPr/>
      </w:pPr>
      <w:r>
        <w:rPr/>
        <w:t>Koszty kwalifikowane stanowią:</w:t>
      </w:r>
    </w:p>
    <w:p>
      <w:pPr>
        <w:pStyle w:val="NormalWeb"/>
        <w:numPr>
          <w:ilvl w:val="1"/>
          <w:numId w:val="9"/>
        </w:numPr>
        <w:spacing w:beforeAutospacing="0" w:before="120" w:after="0"/>
        <w:jc w:val="both"/>
        <w:rPr/>
      </w:pPr>
      <w:r>
        <w:rPr/>
        <w:t>demontaż Starego źródła ciepła, w tym prace związane z jego likwidacją,</w:t>
      </w:r>
    </w:p>
    <w:p>
      <w:pPr>
        <w:pStyle w:val="NormalWeb"/>
        <w:numPr>
          <w:ilvl w:val="1"/>
          <w:numId w:val="9"/>
        </w:numPr>
        <w:spacing w:beforeAutospacing="0" w:before="120" w:after="0"/>
        <w:jc w:val="both"/>
        <w:rPr/>
      </w:pPr>
      <w:r>
        <w:rPr/>
        <w:t xml:space="preserve">zakup i montaż Nowego źródła ciepła, niezbędnej armatury oraz osprzętu, </w:t>
      </w:r>
    </w:p>
    <w:p>
      <w:pPr>
        <w:pStyle w:val="NormalWeb"/>
        <w:numPr>
          <w:ilvl w:val="1"/>
          <w:numId w:val="9"/>
        </w:numPr>
        <w:spacing w:beforeAutospacing="0" w:before="120" w:after="0"/>
        <w:jc w:val="both"/>
        <w:rPr/>
      </w:pPr>
      <w:r>
        <w:rPr/>
        <w:t>wykonanie wewnętrznej instalacji centralnego ogrzewania oraz ciepłej wody użytkowej, w tym projekt budowlany instalacji gazowej</w:t>
      </w:r>
    </w:p>
    <w:p>
      <w:pPr>
        <w:pStyle w:val="NormalWeb"/>
        <w:numPr>
          <w:ilvl w:val="1"/>
          <w:numId w:val="9"/>
        </w:numPr>
        <w:spacing w:beforeAutospacing="0" w:before="120" w:after="0"/>
        <w:jc w:val="both"/>
        <w:rPr/>
      </w:pPr>
      <w:r>
        <w:rPr/>
        <w:t xml:space="preserve">przy podłączeniu budynku do sieci gazowej –wydatki poniesione na wykonanie przyłącza do sieci, które znajduje się w obrębie nieruchomości, </w:t>
      </w:r>
      <w:r>
        <w:rPr>
          <w:color w:val="000000"/>
        </w:rPr>
        <w:t xml:space="preserve"> </w:t>
      </w:r>
      <w:r>
        <w:rPr/>
        <w:t>w tym wykonanie projektu budowlanego.</w:t>
      </w:r>
    </w:p>
    <w:p>
      <w:pPr>
        <w:pStyle w:val="NormalWeb"/>
        <w:numPr>
          <w:ilvl w:val="0"/>
          <w:numId w:val="8"/>
        </w:numPr>
        <w:spacing w:beforeAutospacing="0" w:before="240" w:after="0"/>
        <w:jc w:val="both"/>
        <w:rPr/>
      </w:pPr>
      <w:r>
        <w:rPr/>
        <w:t>Koszty kwalifikowane nie obejmują:</w:t>
      </w:r>
    </w:p>
    <w:p>
      <w:pPr>
        <w:pStyle w:val="NormalWeb"/>
        <w:numPr>
          <w:ilvl w:val="1"/>
          <w:numId w:val="8"/>
        </w:numPr>
        <w:spacing w:beforeAutospacing="0" w:before="120" w:after="0"/>
        <w:jc w:val="both"/>
        <w:rPr/>
      </w:pPr>
      <w:r>
        <w:rPr/>
        <w:t>robót budowlanych, wykończeniowych, które nie są bezpośrednio związane z Projektem,</w:t>
      </w:r>
    </w:p>
    <w:p>
      <w:pPr>
        <w:pStyle w:val="NormalWeb"/>
        <w:numPr>
          <w:ilvl w:val="1"/>
          <w:numId w:val="8"/>
        </w:numPr>
        <w:spacing w:beforeAutospacing="0" w:before="240" w:after="0"/>
        <w:jc w:val="both"/>
        <w:rPr/>
      </w:pPr>
      <w:r>
        <w:rPr/>
        <w:t>zakupu przenośnych urządzeń grzewczych.</w:t>
      </w:r>
    </w:p>
    <w:p>
      <w:pPr>
        <w:pStyle w:val="NormalWeb"/>
        <w:numPr>
          <w:ilvl w:val="0"/>
          <w:numId w:val="8"/>
        </w:numPr>
        <w:spacing w:beforeAutospacing="0" w:before="240" w:after="0"/>
        <w:jc w:val="both"/>
        <w:rPr/>
      </w:pPr>
      <w:r>
        <w:rPr/>
        <w:t>Wszystkie elementy, wymienione w ust. 2, oraz pozostałe koszty poniesione przez Inwestora w celu prawidłowej realizacji inwestycji uznaje się za niekwalifikowane.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Autospacing="0" w:before="240" w:after="0"/>
        <w:jc w:val="center"/>
        <w:rPr>
          <w:b/>
          <w:b/>
          <w:bCs/>
        </w:rPr>
      </w:pPr>
      <w:r>
        <w:rPr>
          <w:b/>
          <w:bCs/>
        </w:rPr>
        <w:t>§ 5. Tryb postępowania w sprawie udzielenia Dotacji</w:t>
      </w:r>
    </w:p>
    <w:p>
      <w:pPr>
        <w:pStyle w:val="NormalWeb"/>
        <w:spacing w:beforeAutospacing="0" w:before="240" w:after="0"/>
        <w:jc w:val="center"/>
        <w:rPr/>
      </w:pPr>
      <w:r>
        <w:rPr/>
      </w:r>
    </w:p>
    <w:p>
      <w:pPr>
        <w:pStyle w:val="NormalWeb"/>
        <w:numPr>
          <w:ilvl w:val="0"/>
          <w:numId w:val="10"/>
        </w:numPr>
        <w:spacing w:beforeAutospacing="0" w:before="240" w:after="0"/>
        <w:jc w:val="both"/>
        <w:rPr/>
      </w:pPr>
      <w:r>
        <w:rPr>
          <w:color w:val="000000"/>
        </w:rPr>
        <w:t>Po zapoznaniu się z Audytem energetycznym i Oceną energetyczną, Wnioskodawca składa kompletny i poprawnie wypełniony Wniosek (załącznik Nr 2 do Regulaminu), do którego należy dołączyć:</w:t>
      </w:r>
    </w:p>
    <w:p>
      <w:pPr>
        <w:pStyle w:val="NormalWeb"/>
        <w:numPr>
          <w:ilvl w:val="1"/>
          <w:numId w:val="11"/>
        </w:numPr>
        <w:spacing w:before="0" w:after="0"/>
        <w:jc w:val="both"/>
        <w:rPr/>
      </w:pPr>
      <w:r>
        <w:rPr/>
        <w:t>dokument potwierdzający tytuł prawny do nieruchomości, w której będzie realizowana Inwestycja, np. aktualny odpis z księgi wieczystej (w przypadku księgi elektronicznej wystarczające jest wskazanie numeru elektronicznej księgi wieczystej),</w:t>
      </w:r>
    </w:p>
    <w:p>
      <w:pPr>
        <w:pStyle w:val="NormalWeb"/>
        <w:numPr>
          <w:ilvl w:val="1"/>
          <w:numId w:val="11"/>
        </w:numPr>
        <w:spacing w:before="0" w:after="0"/>
        <w:jc w:val="both"/>
        <w:rPr/>
      </w:pPr>
      <w:r>
        <w:rPr/>
        <w:t xml:space="preserve">oświadczenie stanowiące załącznik </w:t>
      </w:r>
      <w:r>
        <w:rPr>
          <w:color w:val="000000"/>
        </w:rPr>
        <w:t xml:space="preserve">nr 4 </w:t>
      </w:r>
      <w:r>
        <w:rPr/>
        <w:t>do Regulaminu.</w:t>
      </w:r>
    </w:p>
    <w:p>
      <w:pPr>
        <w:pStyle w:val="NormalWeb"/>
        <w:numPr>
          <w:ilvl w:val="0"/>
          <w:numId w:val="10"/>
        </w:numPr>
        <w:spacing w:beforeAutospacing="0" w:before="240" w:after="0"/>
        <w:jc w:val="both"/>
        <w:rPr/>
      </w:pPr>
      <w:r>
        <w:rPr/>
        <w:t>Wniosek, o którym mowa w ust. 1 należy złożyć na Dzienniku Podawczym Urzędu w terminie do 31.12.2019 r.</w:t>
      </w:r>
    </w:p>
    <w:p>
      <w:pPr>
        <w:pStyle w:val="NormalWeb"/>
        <w:numPr>
          <w:ilvl w:val="0"/>
          <w:numId w:val="10"/>
        </w:numPr>
        <w:spacing w:beforeAutospacing="0" w:before="240" w:after="0"/>
        <w:jc w:val="both"/>
        <w:rPr/>
      </w:pPr>
      <w:r>
        <w:rPr/>
        <w:t>Udzielenie i rozliczenie dotacji odbywa się na podstawie Umowy zawartej pomiędzy Gminą a Wnioskodawcą.</w:t>
      </w:r>
    </w:p>
    <w:p>
      <w:pPr>
        <w:pStyle w:val="NormalWeb"/>
        <w:numPr>
          <w:ilvl w:val="0"/>
          <w:numId w:val="10"/>
        </w:numPr>
        <w:spacing w:beforeAutospacing="0" w:before="240" w:after="0"/>
        <w:jc w:val="both"/>
        <w:rPr/>
      </w:pPr>
      <w:r>
        <w:rPr/>
        <w:t>Inwestor zobowiązuje się do przeprowadzenia Inwestycji zgodnie z przepisami prawa budowlanego i innymi przepisami prawa obowiązującymi w tym zakresie.</w:t>
      </w:r>
    </w:p>
    <w:p>
      <w:pPr>
        <w:pStyle w:val="NormalWeb"/>
        <w:numPr>
          <w:ilvl w:val="0"/>
          <w:numId w:val="10"/>
        </w:numPr>
        <w:spacing w:beforeAutospacing="0" w:before="240" w:after="0"/>
        <w:jc w:val="both"/>
        <w:rPr/>
      </w:pPr>
      <w:r>
        <w:rPr/>
        <w:t>Inwestor wybiera wykonawcę, który zrealizuje Inwestycję, zgodnie z Umową oraz zgodnie z powszechnie obowiązującymi przepisami.</w:t>
      </w:r>
    </w:p>
    <w:p>
      <w:pPr>
        <w:pStyle w:val="NormalWeb"/>
        <w:numPr>
          <w:ilvl w:val="0"/>
          <w:numId w:val="10"/>
        </w:numPr>
        <w:spacing w:beforeAutospacing="0" w:before="240" w:after="0"/>
        <w:jc w:val="both"/>
        <w:rPr/>
      </w:pPr>
      <w:r>
        <w:rPr/>
        <w:t>Dobór i zakup Nowego źródła ciepła w ramach Projektu spoczywa tylko i wyłącznie na Inwestorze.</w:t>
      </w:r>
    </w:p>
    <w:p>
      <w:pPr>
        <w:pStyle w:val="NormalWeb"/>
        <w:numPr>
          <w:ilvl w:val="0"/>
          <w:numId w:val="10"/>
        </w:numPr>
        <w:spacing w:beforeAutospacing="0" w:before="240" w:after="0"/>
        <w:jc w:val="both"/>
        <w:rPr/>
      </w:pPr>
      <w:r>
        <w:rPr/>
        <w:t>Niezawarcie Umowy, w terminie do 60 dni od dnia złożenia kompletnego Wniosku (załącznik nr 2 do Regulaminu), skutkować będzie odrzuceniem wniosku o udzielenie dotacji na wymianę źródła ciepła.</w:t>
      </w:r>
    </w:p>
    <w:p>
      <w:pPr>
        <w:pStyle w:val="NormalWeb"/>
        <w:spacing w:beforeAutospacing="0" w:before="240" w:after="0"/>
        <w:ind w:left="360" w:hanging="0"/>
        <w:jc w:val="both"/>
        <w:rPr/>
      </w:pPr>
      <w:r>
        <w:rPr/>
      </w:r>
    </w:p>
    <w:p>
      <w:pPr>
        <w:pStyle w:val="NormalWeb"/>
        <w:spacing w:beforeAutospacing="0" w:before="360" w:after="0"/>
        <w:jc w:val="center"/>
        <w:rPr/>
      </w:pPr>
      <w:r>
        <w:rPr>
          <w:b/>
          <w:bCs/>
        </w:rPr>
        <w:t>§ 6. Zasady wyboru Inwestorów</w:t>
      </w:r>
    </w:p>
    <w:p>
      <w:pPr>
        <w:pStyle w:val="NormalWeb"/>
        <w:spacing w:beforeAutospacing="0" w:before="360" w:after="0"/>
        <w:jc w:val="both"/>
        <w:rPr/>
      </w:pPr>
      <w:r>
        <w:rPr/>
        <w:t xml:space="preserve">Wnioski rozpatruje się do wysokości środków przyznanych Gminie w ramach Programu zgodnie z harmonogramem stanowiącym załącznik do umowy o dofinansowanie Programu zawartej pomiędzy Gminą a IZ RPO WM. </w:t>
      </w:r>
    </w:p>
    <w:p>
      <w:pPr>
        <w:pStyle w:val="NormalWeb"/>
        <w:spacing w:beforeAutospacing="0" w:before="360" w:after="0"/>
        <w:jc w:val="both"/>
        <w:rPr/>
      </w:pPr>
      <w:r>
        <w:rPr/>
      </w:r>
    </w:p>
    <w:p>
      <w:pPr>
        <w:pStyle w:val="NormalWeb"/>
        <w:spacing w:beforeAutospacing="0" w:before="360" w:after="0"/>
        <w:jc w:val="center"/>
        <w:rPr/>
      </w:pPr>
      <w:r>
        <w:rPr>
          <w:b/>
          <w:bCs/>
        </w:rPr>
        <w:t>§ 7 Sposób wykorzystania i rozliczania Dotacji</w:t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numPr>
          <w:ilvl w:val="0"/>
          <w:numId w:val="12"/>
        </w:numPr>
        <w:spacing w:before="0" w:after="0"/>
        <w:jc w:val="both"/>
        <w:rPr/>
      </w:pPr>
      <w:r>
        <w:rPr/>
        <w:t>Po zakończeniu realizacji Inwestycji, Inwestor, bez zbędnej zwłoki, lecz nie później niż w terminie ustalonym w Umowie, w celu otrzymania Dotacji zobowiązany jest do złożenia wniosku o wypłatę Dotacji (załącznik nr 4 do niniejszego Regulaminu) oraz dostarczenia wymaganych do rozliczenia dokumentów, tj.:</w:t>
      </w:r>
    </w:p>
    <w:p>
      <w:pPr>
        <w:pStyle w:val="NormalWeb"/>
        <w:numPr>
          <w:ilvl w:val="0"/>
          <w:numId w:val="13"/>
        </w:numPr>
        <w:spacing w:before="0" w:after="0"/>
        <w:jc w:val="both"/>
        <w:rPr/>
      </w:pPr>
      <w:r>
        <w:rPr/>
        <w:t>dokument potwierdzający trwałą likwidację Starego źródła ciepła,</w:t>
      </w:r>
    </w:p>
    <w:p>
      <w:pPr>
        <w:pStyle w:val="NormalWeb"/>
        <w:numPr>
          <w:ilvl w:val="0"/>
          <w:numId w:val="13"/>
        </w:numPr>
        <w:spacing w:before="0" w:after="0"/>
        <w:jc w:val="both"/>
        <w:rPr/>
      </w:pPr>
      <w:r>
        <w:rPr/>
        <w:t>oryginały prawidłowo wystawionych przez wykonawcę robót faktur lub rachunków za demontaż (likwidację) Starego źródła ciepła i/lub montaż Nowego źródła ciepła i/lub za zakup elementów związanych z nowym systemem ogrzewania,</w:t>
      </w:r>
    </w:p>
    <w:p>
      <w:pPr>
        <w:pStyle w:val="NormalWeb"/>
        <w:numPr>
          <w:ilvl w:val="0"/>
          <w:numId w:val="13"/>
        </w:numPr>
        <w:spacing w:before="0" w:after="0"/>
        <w:jc w:val="both"/>
        <w:rPr/>
      </w:pPr>
      <w:r>
        <w:rPr/>
        <w:t>dane techniczne zakupionego urządzenia wraz z atestem (jeśli dotyczy) – certyfikatem potwierdzającym spełnienie przez Nowe źródło ciepła wymagań określonych w Regulaminie.</w:t>
      </w:r>
    </w:p>
    <w:p>
      <w:pPr>
        <w:pStyle w:val="NormalWeb"/>
        <w:numPr>
          <w:ilvl w:val="0"/>
          <w:numId w:val="13"/>
        </w:numPr>
        <w:spacing w:before="0" w:after="0"/>
        <w:jc w:val="both"/>
        <w:rPr/>
      </w:pPr>
      <w:r>
        <w:rPr/>
        <w:t>dokument potwierdzający dokonanie zapłaty za zrealizowaną Inwestycję (tylko w przypadku braku potwierdzenia na fakturze lub rachunku)</w:t>
      </w:r>
    </w:p>
    <w:p>
      <w:pPr>
        <w:pStyle w:val="NormalWeb"/>
        <w:numPr>
          <w:ilvl w:val="0"/>
          <w:numId w:val="13"/>
        </w:numPr>
        <w:spacing w:before="0" w:after="0"/>
        <w:jc w:val="both"/>
        <w:rPr/>
      </w:pPr>
      <w:r>
        <w:rPr/>
        <w:t>protokół końcowego odbioru technicznego (załącznik nr 5 do Regulaminu).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Sfinansowane Dotacją mogą być tylko wydatki, które:</w:t>
      </w:r>
    </w:p>
    <w:p>
      <w:pPr>
        <w:pStyle w:val="ListParagraph"/>
        <w:numPr>
          <w:ilvl w:val="1"/>
          <w:numId w:val="8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zostały poniesione przez Inwestora na cele, o których mowa w § 4 ust. 1,</w:t>
      </w:r>
    </w:p>
    <w:p>
      <w:pPr>
        <w:pStyle w:val="ListParagraph"/>
        <w:numPr>
          <w:ilvl w:val="1"/>
          <w:numId w:val="8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zostały faktycznie poniesione w okresie w od dnia podpisania Umowy do dnia złożenia wniosku o wypłatę Dotacji. Przez poniesienie wydatku rozumie się zakup, potwierdzony datą wystawienia faktur i rachunków, o których mowa w ust. 1, oraz zapłacenie wydatków,</w:t>
      </w:r>
    </w:p>
    <w:p>
      <w:pPr>
        <w:pStyle w:val="ListParagraph"/>
        <w:numPr>
          <w:ilvl w:val="1"/>
          <w:numId w:val="8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są zgodne z obowiązującymi przepisami prawa Unii Europejskiej oraz prawa krajowego, w tym przepisami regulującymi udzielanie pomocy publicznej, jeśli mają zastosowanie, </w:t>
      </w:r>
    </w:p>
    <w:p>
      <w:pPr>
        <w:pStyle w:val="ListParagraph"/>
        <w:numPr>
          <w:ilvl w:val="1"/>
          <w:numId w:val="8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są zgodnie z niniejszym Regulaminem, Umową o Dotację i przeprowadzoną oceną energetyczną,</w:t>
      </w:r>
    </w:p>
    <w:p>
      <w:pPr>
        <w:pStyle w:val="ListParagraph"/>
        <w:numPr>
          <w:ilvl w:val="1"/>
          <w:numId w:val="8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zostały udokumentowane za pomocą dokumentów, o których mowa w ust. 1,</w:t>
      </w:r>
    </w:p>
    <w:p>
      <w:pPr>
        <w:pStyle w:val="ListParagraph"/>
        <w:numPr>
          <w:ilvl w:val="1"/>
          <w:numId w:val="8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zostały wykazane we wniosku o wypłatę Dotacji,</w:t>
      </w:r>
    </w:p>
    <w:p>
      <w:pPr>
        <w:pStyle w:val="ListParagraph"/>
        <w:numPr>
          <w:ilvl w:val="1"/>
          <w:numId w:val="8"/>
        </w:numPr>
        <w:spacing w:lineRule="auto" w:line="240" w:before="0" w:after="1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nie zostały sfinansowane z innych środków publicznych niż Dotacja.</w:t>
      </w:r>
    </w:p>
    <w:p>
      <w:pPr>
        <w:pStyle w:val="NormalWeb"/>
        <w:numPr>
          <w:ilvl w:val="0"/>
          <w:numId w:val="12"/>
        </w:numPr>
        <w:spacing w:before="0" w:after="0"/>
        <w:jc w:val="both"/>
        <w:rPr/>
      </w:pPr>
      <w:r>
        <w:rPr/>
        <w:t>Przed przekazaniem Dotacji na mocy zawartej Umowy, osoba upoważniona przez Burmistrza Miasta i Gminy Wolbrom dokona inspekcji w miejscu wykonania Inwestycji w celu sprawdzenia zgodności wykonanych prac z Umową.</w:t>
      </w:r>
    </w:p>
    <w:p>
      <w:pPr>
        <w:pStyle w:val="NormalWeb"/>
        <w:numPr>
          <w:ilvl w:val="0"/>
          <w:numId w:val="12"/>
        </w:numPr>
        <w:spacing w:before="0" w:after="0"/>
        <w:jc w:val="both"/>
        <w:rPr/>
      </w:pPr>
      <w:r>
        <w:rPr/>
        <w:t>Dotacja przekazana będzie w formie refundacji poniesionych, udokumentowanych kosztów kwalifikowanych Inwestycji, w kwocie nie wyższej niż określona w Umowie o Dotację, w terminie do 30 dni od dnia dokonania inspekcji, o której mowa w ust. 2.</w:t>
      </w:r>
    </w:p>
    <w:p>
      <w:pPr>
        <w:pStyle w:val="NormalWeb"/>
        <w:spacing w:before="0" w:after="0"/>
        <w:ind w:left="720" w:hanging="0"/>
        <w:jc w:val="both"/>
        <w:rPr/>
      </w:pPr>
      <w:r>
        <w:rPr/>
      </w:r>
    </w:p>
    <w:p>
      <w:pPr>
        <w:pStyle w:val="Normal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Rozdział 3</w:t>
      </w:r>
    </w:p>
    <w:p>
      <w:pPr>
        <w:pStyle w:val="NormalWeb"/>
        <w:spacing w:beforeAutospacing="0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>
      <w:pPr>
        <w:pStyle w:val="NormalWeb"/>
        <w:spacing w:beforeAutospacing="0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240" w:after="0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8. Postanowienia końcowe</w:t>
      </w:r>
    </w:p>
    <w:p>
      <w:pPr>
        <w:pStyle w:val="NormalWeb"/>
        <w:spacing w:before="0" w:after="0"/>
        <w:rPr/>
      </w:pPr>
      <w:r>
        <w:rPr/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Strony, przystępując do Projektu, wyrażają zgodę na przestrzeganie postanowień niniejszego Regulaminu.</w:t>
      </w:r>
    </w:p>
    <w:p>
      <w:pPr>
        <w:pStyle w:val="NormalWeb"/>
        <w:numPr>
          <w:ilvl w:val="0"/>
          <w:numId w:val="14"/>
        </w:numPr>
        <w:spacing w:beforeAutospacing="0" w:before="240" w:after="0"/>
        <w:jc w:val="both"/>
        <w:rPr/>
      </w:pPr>
      <w:r>
        <w:rPr/>
        <w:t>Gmina ma prawo do kontroli przestrzegania zapisów Umowy i Regulaminu przez Inwestora w okresie trwałości Projektu. Szczegółowe zasady kontroli reguluje Umowa.</w:t>
      </w:r>
    </w:p>
    <w:p>
      <w:pPr>
        <w:pStyle w:val="NormalWeb"/>
        <w:numPr>
          <w:ilvl w:val="0"/>
          <w:numId w:val="14"/>
        </w:numPr>
        <w:spacing w:beforeAutospacing="0" w:before="240" w:after="0"/>
        <w:jc w:val="both"/>
        <w:rPr/>
      </w:pPr>
      <w:r>
        <w:rPr/>
        <w:t>Poza przypadkami uregulowanymi przepisami prawa Inwestorowi nie przysługuje odrębne prawo do odwołania się od działań Gminy realizowanych na podstawie Regulaminu, w szczególności dotyczących:</w:t>
      </w:r>
    </w:p>
    <w:p>
      <w:pPr>
        <w:pStyle w:val="NormalWeb"/>
        <w:numPr>
          <w:ilvl w:val="1"/>
          <w:numId w:val="8"/>
        </w:numPr>
        <w:spacing w:beforeAutospacing="0" w:before="240" w:after="0"/>
        <w:jc w:val="both"/>
        <w:rPr/>
      </w:pPr>
      <w:r>
        <w:rPr/>
        <w:t>oceny formalnej wniosku o Dotację,</w:t>
      </w:r>
    </w:p>
    <w:p>
      <w:pPr>
        <w:pStyle w:val="NormalWeb"/>
        <w:numPr>
          <w:ilvl w:val="1"/>
          <w:numId w:val="8"/>
        </w:numPr>
        <w:spacing w:beforeAutospacing="0" w:before="240" w:after="0"/>
        <w:jc w:val="both"/>
        <w:rPr/>
      </w:pPr>
      <w:r>
        <w:rPr/>
        <w:t>wyników oceny dokumentów przedłożonych w ramach rozliczenia Dotacji oraz uznania wydatków za niekwalifikujące się do finansowania dotacją,</w:t>
      </w:r>
    </w:p>
    <w:p>
      <w:pPr>
        <w:pStyle w:val="NormalWeb"/>
        <w:numPr>
          <w:ilvl w:val="1"/>
          <w:numId w:val="8"/>
        </w:numPr>
        <w:spacing w:beforeAutospacing="0" w:before="240" w:after="0"/>
        <w:jc w:val="both"/>
        <w:rPr/>
      </w:pPr>
      <w:r>
        <w:rPr/>
        <w:t>wyników kontroli przeprowadzonych przez Gminę.</w:t>
      </w:r>
    </w:p>
    <w:p>
      <w:pPr>
        <w:pStyle w:val="NormalWeb"/>
        <w:numPr>
          <w:ilvl w:val="0"/>
          <w:numId w:val="14"/>
        </w:numPr>
        <w:spacing w:beforeAutospacing="0" w:before="240" w:after="0"/>
        <w:jc w:val="both"/>
        <w:rPr/>
      </w:pPr>
      <w:r>
        <w:rPr/>
        <w:t>Wnioskodawca, przystępując do Projektu, ma obowiązek samodzielnego pozyskiwania wszelkich informacji związanych z jego realizacją (w szczególności co do terminów realizacji poszczególnych etapów Projektu), które można uzyskać w Urzędzie.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1" w:name="_GoBack"/>
    <w:bookmarkEnd w:id="1"/>
    <w:r>
      <w:rPr/>
      <w:drawing>
        <wp:inline distT="0" distB="9525" distL="0" distR="0">
          <wp:extent cx="5753100" cy="4476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>
        <w:i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68" w:hanging="360"/>
      </w:pPr>
      <w:rPr>
        <w:i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68" w:hanging="360"/>
      </w:pPr>
      <w:rPr>
        <w:i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i/>
        <w:b/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i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i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1080" w:hanging="360"/>
      </w:pPr>
      <w:rPr>
        <w:i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74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b006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b0060"/>
    <w:rPr/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  <w:i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b/>
      <w:i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b/>
      <w:i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ascii="Times New Roman" w:hAnsi="Times New Roman"/>
      <w:b/>
      <w:i/>
      <w:sz w:val="24"/>
    </w:rPr>
  </w:style>
  <w:style w:type="character" w:styleId="ListLabel12">
    <w:name w:val="ListLabel 12"/>
    <w:qFormat/>
    <w:rPr>
      <w:b/>
      <w:i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  <w:i/>
    </w:rPr>
  </w:style>
  <w:style w:type="character" w:styleId="ListLabel15">
    <w:name w:val="ListLabel 15"/>
    <w:qFormat/>
    <w:rPr>
      <w:rFonts w:ascii="Times New Roman" w:hAnsi="Times New Roman"/>
      <w:b/>
      <w:sz w:val="24"/>
    </w:rPr>
  </w:style>
  <w:style w:type="character" w:styleId="ListLabel16">
    <w:name w:val="ListLabel 16"/>
    <w:qFormat/>
    <w:rPr>
      <w:b/>
      <w:i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ascii="Times New Roman" w:hAnsi="Times New Roman"/>
      <w:b/>
      <w:sz w:val="24"/>
    </w:rPr>
  </w:style>
  <w:style w:type="character" w:styleId="ListLabel20">
    <w:name w:val="ListLabel 20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position w:val="0"/>
      <w:sz w:val="22"/>
      <w:sz w:val="22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561df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21600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b006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b006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C2FA2-FF0C-4C6F-9E92-472BE9D8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LibreOffice/5.4.2.2$Windows_x86 LibreOffice_project/22b09f6418e8c2d508a9eaf86b2399209b0990f4</Application>
  <Pages>7</Pages>
  <Words>2010</Words>
  <Characters>13067</Characters>
  <CharactersWithSpaces>14916</CharactersWithSpaces>
  <Paragraphs>112</Paragraphs>
  <Company>UMiG Wolbrom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2017-11-29T07:26:00Z</dcterms:created>
  <dc:creator>Twoja nazwa użytkownika</dc:creator>
  <dc:description/>
  <dc:language>pl-PL</dc:language>
  <cp:lastModifiedBy>K. Barczyk-Łyczak</cp:lastModifiedBy>
  <cp:lastPrinted>2017-12-29T14:24:20Z</cp:lastPrinted>
  <dcterms:modified xsi:type="dcterms:W3CDTF">2017-11-30T06:08:00Z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UMiG Wolbrom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